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5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постановлению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21 апреля 2021 года № 352-п</w:t>
      </w:r>
    </w:p>
    <w:p>
      <w:pPr>
        <w:ind w:left="5387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>
      <w:pPr>
        <w:ind w:left="5387"/>
        <w:rPr>
          <w:rFonts w:ascii="PT Astra Serif" w:hAnsi="PT Astra Serif"/>
          <w:sz w:val="28"/>
          <w:szCs w:val="28"/>
        </w:rPr>
      </w:pPr>
    </w:p>
    <w:p>
      <w:pPr>
        <w:ind w:left="5387"/>
        <w:rPr>
          <w:rFonts w:ascii="PT Astra Serif" w:hAnsi="PT Astra Serif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31"/>
      </w:tblGrid>
      <w:tr>
        <w:trPr>
          <w:jc w:val="center"/>
        </w:trPr>
        <w:tc>
          <w:tcPr>
            <w:tcW w:w="9131" w:type="dxa"/>
            <w:vAlign w:val="bottom"/>
          </w:tcPr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РЕШЕНИЕ 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>ОБ УТОЧНЕНИИ СВЕДЕНИЙ, СОДЕРЖАЩИХСЯ</w:t>
            </w:r>
          </w:p>
          <w:p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/>
                <w:bCs/>
                <w:sz w:val="28"/>
                <w:szCs w:val="28"/>
              </w:rPr>
              <w:t xml:space="preserve">В ГОСУДАРСТВЕННОМ АДРЕСНОМ РЕЕСТРЕ 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 xml:space="preserve">Ямало-Ненецкий автономный округ, 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10794</wp:posOffset>
                      </wp:positionV>
                      <wp:extent cx="5942330" cy="0"/>
                      <wp:effectExtent l="0" t="0" r="20320" b="19050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23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.65pt,.85pt" to="467.2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(субъект Российской Федерации)</w:t>
            </w:r>
          </w:p>
          <w:p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sz w:val="28"/>
                <w:szCs w:val="28"/>
              </w:rPr>
              <w:t>муниципальный округ Тазовский район,</w:t>
            </w:r>
          </w:p>
          <w:p>
            <w:pPr>
              <w:jc w:val="center"/>
              <w:rPr>
                <w:rFonts w:ascii="PT Astra Serif" w:hAnsi="PT Astra Serif"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noProof/>
                <w:sz w:val="20"/>
                <w:szCs w:val="20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-18415</wp:posOffset>
                      </wp:positionH>
                      <wp:positionV relativeFrom="paragraph">
                        <wp:posOffset>10794</wp:posOffset>
                      </wp:positionV>
                      <wp:extent cx="5943600" cy="0"/>
                      <wp:effectExtent l="0" t="0" r="19050" b="19050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94360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from="-1.45pt,.85pt" to="466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" strokecolor="windowText" strokeweight=".5pt"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PT Astra Serif" w:hAnsi="PT Astra Serif"/>
                <w:bCs/>
                <w:sz w:val="20"/>
                <w:szCs w:val="20"/>
              </w:rPr>
              <w:t>(муниципальный округ/муниципальный район/сельское/городское поселение)</w:t>
            </w:r>
          </w:p>
          <w:p>
            <w:pPr>
              <w:autoSpaceDE w:val="0"/>
              <w:autoSpaceDN w:val="0"/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</w:p>
        </w:tc>
      </w:tr>
    </w:tbl>
    <w:p>
      <w:pPr>
        <w:pStyle w:val="ac"/>
        <w:numPr>
          <w:ilvl w:val="0"/>
          <w:numId w:val="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Уточняемые реквизиты адреса, содержащиеся в Государственном адресном реестре: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Межселенная территория Тазовского муниципального района, кроме сельских поселений, включающая д. Тадебя-Яха,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hAnsi="PT Astra Serif"/>
              </w:rPr>
              <w:t>д. Тибей-Сале, д. Матюй-Сале, д. Юрибей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ind w:right="-108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есть в ГАР)</w:t>
            </w:r>
          </w:p>
        </w:tc>
      </w:tr>
      <w:tr>
        <w:trPr>
          <w:trHeight w:val="77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Геофизическое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pStyle w:val="ac"/>
        <w:numPr>
          <w:ilvl w:val="0"/>
          <w:numId w:val="6"/>
        </w:numPr>
        <w:tabs>
          <w:tab w:val="left" w:pos="142"/>
          <w:tab w:val="left" w:pos="1134"/>
        </w:tabs>
        <w:autoSpaceDE w:val="0"/>
        <w:autoSpaceDN w:val="0"/>
        <w:ind w:left="0" w:firstLine="709"/>
        <w:jc w:val="both"/>
        <w:rPr>
          <w:rFonts w:ascii="PT Astra Serif" w:hAnsi="PT Astra Serif"/>
          <w:szCs w:val="28"/>
        </w:rPr>
      </w:pPr>
      <w:r>
        <w:rPr>
          <w:rFonts w:ascii="PT Astra Serif" w:hAnsi="PT Astra Serif"/>
          <w:szCs w:val="28"/>
        </w:rPr>
        <w:t>Уточненные реквизиты адреса, необходимые для внесения изменений в Государственный адресный реестр: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А. Сельское/городское поселение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-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Тип элемента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 xml:space="preserve">(как должно быть 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 ГАР)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В. Элемент планировочной структуры</w:t>
            </w:r>
          </w:p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(как должно быть в ГАР)</w:t>
            </w:r>
          </w:p>
        </w:tc>
      </w:tr>
      <w:t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территория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Геофизическое НГКМ</w:t>
            </w:r>
          </w:p>
        </w:tc>
      </w:tr>
    </w:tbl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jc w:val="center"/>
        <w:rPr>
          <w:rFonts w:ascii="PT Astra Serif" w:hAnsi="PT Astra Serif"/>
          <w:sz w:val="28"/>
          <w:szCs w:val="28"/>
        </w:rPr>
      </w:pPr>
    </w:p>
    <w:p>
      <w:pPr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374B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68F42E7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704F2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98538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A6D362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2A922D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6DA58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31348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B6F20B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EE0240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04364A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108655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3A659E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4452D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75223F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27C61BD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C5A41C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7102C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0">
    <w:nsid w:val="316E79FA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33267B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3795A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A4777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38DE5C7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B84054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293401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63779E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48164AB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4B41328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BD276E6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4D046385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4DF2D14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6A94B7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76D297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78F5BE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B27B0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F925BD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7A86751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7CA05C3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685C5B58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86F33B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6C0E2E4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6DC200D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>
    <w:nsid w:val="721314C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5">
    <w:nsid w:val="734319A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74200C2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93729C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C065619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7D560D0B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44"/>
  </w:num>
  <w:num w:numId="5">
    <w:abstractNumId w:val="31"/>
  </w:num>
  <w:num w:numId="6">
    <w:abstractNumId w:val="22"/>
  </w:num>
  <w:num w:numId="7">
    <w:abstractNumId w:val="29"/>
  </w:num>
  <w:num w:numId="8">
    <w:abstractNumId w:val="0"/>
  </w:num>
  <w:num w:numId="9">
    <w:abstractNumId w:val="30"/>
  </w:num>
  <w:num w:numId="10">
    <w:abstractNumId w:val="2"/>
  </w:num>
  <w:num w:numId="11">
    <w:abstractNumId w:val="39"/>
  </w:num>
  <w:num w:numId="12">
    <w:abstractNumId w:val="35"/>
  </w:num>
  <w:num w:numId="13">
    <w:abstractNumId w:val="49"/>
  </w:num>
  <w:num w:numId="14">
    <w:abstractNumId w:val="40"/>
  </w:num>
  <w:num w:numId="15">
    <w:abstractNumId w:val="36"/>
  </w:num>
  <w:num w:numId="16">
    <w:abstractNumId w:val="7"/>
  </w:num>
  <w:num w:numId="17">
    <w:abstractNumId w:val="21"/>
  </w:num>
  <w:num w:numId="18">
    <w:abstractNumId w:val="6"/>
  </w:num>
  <w:num w:numId="19">
    <w:abstractNumId w:val="15"/>
  </w:num>
  <w:num w:numId="20">
    <w:abstractNumId w:val="1"/>
  </w:num>
  <w:num w:numId="21">
    <w:abstractNumId w:val="28"/>
  </w:num>
  <w:num w:numId="22">
    <w:abstractNumId w:val="25"/>
  </w:num>
  <w:num w:numId="23">
    <w:abstractNumId w:val="41"/>
  </w:num>
  <w:num w:numId="24">
    <w:abstractNumId w:val="45"/>
  </w:num>
  <w:num w:numId="25">
    <w:abstractNumId w:val="12"/>
  </w:num>
  <w:num w:numId="26">
    <w:abstractNumId w:val="18"/>
  </w:num>
  <w:num w:numId="27">
    <w:abstractNumId w:val="46"/>
  </w:num>
  <w:num w:numId="28">
    <w:abstractNumId w:val="26"/>
  </w:num>
  <w:num w:numId="29">
    <w:abstractNumId w:val="42"/>
  </w:num>
  <w:num w:numId="30">
    <w:abstractNumId w:val="8"/>
  </w:num>
  <w:num w:numId="31">
    <w:abstractNumId w:val="10"/>
  </w:num>
  <w:num w:numId="32">
    <w:abstractNumId w:val="3"/>
  </w:num>
  <w:num w:numId="33">
    <w:abstractNumId w:val="24"/>
  </w:num>
  <w:num w:numId="34">
    <w:abstractNumId w:val="33"/>
  </w:num>
  <w:num w:numId="35">
    <w:abstractNumId w:val="47"/>
  </w:num>
  <w:num w:numId="36">
    <w:abstractNumId w:val="14"/>
  </w:num>
  <w:num w:numId="37">
    <w:abstractNumId w:val="9"/>
  </w:num>
  <w:num w:numId="38">
    <w:abstractNumId w:val="5"/>
  </w:num>
  <w:num w:numId="39">
    <w:abstractNumId w:val="20"/>
  </w:num>
  <w:num w:numId="40">
    <w:abstractNumId w:val="13"/>
  </w:num>
  <w:num w:numId="41">
    <w:abstractNumId w:val="4"/>
  </w:num>
  <w:num w:numId="42">
    <w:abstractNumId w:val="48"/>
  </w:num>
  <w:num w:numId="43">
    <w:abstractNumId w:val="27"/>
  </w:num>
  <w:num w:numId="44">
    <w:abstractNumId w:val="11"/>
  </w:num>
  <w:num w:numId="45">
    <w:abstractNumId w:val="38"/>
  </w:num>
  <w:num w:numId="46">
    <w:abstractNumId w:val="23"/>
  </w:num>
  <w:num w:numId="47">
    <w:abstractNumId w:val="43"/>
  </w:num>
  <w:num w:numId="48">
    <w:abstractNumId w:val="34"/>
  </w:num>
  <w:num w:numId="49">
    <w:abstractNumId w:val="37"/>
  </w:num>
  <w:num w:numId="50">
    <w:abstractNumId w:val="17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F430F-4EBA-40E6-806A-9DD63C0C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pPr>
      <w:keepNext/>
      <w:spacing w:before="240" w:after="60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before="240" w:after="60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pPr>
      <w:keepNext/>
      <w:keepLines/>
      <w:spacing w:before="200" w:line="276" w:lineRule="auto"/>
      <w:jc w:val="both"/>
      <w:outlineLvl w:val="4"/>
    </w:pPr>
    <w:rPr>
      <w:rFonts w:ascii="Cambria" w:hAnsi="Cambria"/>
      <w:b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pPr>
      <w:spacing w:line="276" w:lineRule="auto"/>
      <w:ind w:left="57"/>
      <w:jc w:val="both"/>
    </w:pPr>
    <w:rPr>
      <w:rFonts w:ascii="Calibri" w:hAnsi="Calibri" w:cs="Arial"/>
      <w:lang w:eastAsia="en-US"/>
    </w:rPr>
  </w:style>
  <w:style w:type="character" w:customStyle="1" w:styleId="a5">
    <w:name w:val="Таблица Знак"/>
    <w:link w:val="a4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pPr>
      <w:numPr>
        <w:numId w:val="1"/>
      </w:numPr>
      <w:spacing w:after="200" w:line="360" w:lineRule="auto"/>
      <w:contextualSpacing/>
    </w:pPr>
    <w:rPr>
      <w:rFonts w:ascii="Tahoma" w:hAnsi="Tahoma" w:cs="Tahoma"/>
      <w:lang w:eastAsia="en-US"/>
    </w:rPr>
  </w:style>
  <w:style w:type="paragraph" w:customStyle="1" w:styleId="a8">
    <w:name w:val="ГП Основной"/>
    <w:qFormat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link w:val="1"/>
    <w:uiPriority w:val="9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Pr>
      <w:b/>
      <w:bCs/>
    </w:rPr>
  </w:style>
  <w:style w:type="paragraph" w:styleId="aa">
    <w:name w:val="No Spacing"/>
    <w:link w:val="ab"/>
    <w:qFormat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Pr>
      <w:rFonts w:ascii="Calibri" w:eastAsia="Calibri" w:hAnsi="Calibri"/>
      <w:sz w:val="24"/>
      <w:szCs w:val="24"/>
      <w:lang w:eastAsia="ru-RU"/>
    </w:rPr>
  </w:style>
  <w:style w:type="paragraph" w:styleId="ac">
    <w:name w:val="List Paragraph"/>
    <w:basedOn w:val="a0"/>
    <w:uiPriority w:val="34"/>
    <w:qFormat/>
    <w:pPr>
      <w:ind w:left="720"/>
      <w:contextualSpacing/>
    </w:pPr>
    <w:rPr>
      <w:sz w:val="28"/>
    </w:rPr>
  </w:style>
  <w:style w:type="paragraph" w:styleId="ad">
    <w:name w:val="header"/>
    <w:basedOn w:val="a0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Pr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Pr>
      <w:sz w:val="24"/>
      <w:szCs w:val="24"/>
      <w:lang w:eastAsia="ru-RU"/>
    </w:rPr>
  </w:style>
  <w:style w:type="paragraph" w:styleId="af1">
    <w:name w:val="Balloon Text"/>
    <w:basedOn w:val="a0"/>
    <w:link w:val="af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1"/>
    <w:link w:val="af1"/>
    <w:uiPriority w:val="99"/>
    <w:semiHidden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63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13C16-5F24-460E-BA60-30E6159A2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Фадеева Алена Михайловна</cp:lastModifiedBy>
  <cp:revision>39</cp:revision>
  <cp:lastPrinted>2021-04-22T05:15:00Z</cp:lastPrinted>
  <dcterms:created xsi:type="dcterms:W3CDTF">2019-11-05T09:32:00Z</dcterms:created>
  <dcterms:modified xsi:type="dcterms:W3CDTF">2021-04-22T05:15:00Z</dcterms:modified>
</cp:coreProperties>
</file>